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CDA8ED" w14:textId="3886727D" w:rsidR="003721CD" w:rsidRPr="002B3701" w:rsidRDefault="0034021D" w:rsidP="00C609A0">
      <w:pPr>
        <w:jc w:val="both"/>
        <w:rPr>
          <w:rFonts w:ascii="Times New Roman" w:hAnsi="Times New Roman" w:cs="Times New Roman"/>
          <w:b/>
          <w:bCs/>
          <w:sz w:val="32"/>
          <w:szCs w:val="32"/>
          <w:shd w:val="clear" w:color="auto" w:fill="FFFFFF"/>
        </w:rPr>
      </w:pPr>
      <w:r w:rsidRPr="002B3701">
        <w:rPr>
          <w:rFonts w:ascii="Times New Roman" w:hAnsi="Times New Roman" w:cs="Times New Roman"/>
          <w:b/>
          <w:bCs/>
          <w:sz w:val="32"/>
          <w:szCs w:val="32"/>
          <w:shd w:val="clear" w:color="auto" w:fill="FFFFFF"/>
        </w:rPr>
        <w:t>CLIL – edukacja dwujęzyczna w wychowaniu przedszkolnym</w:t>
      </w:r>
    </w:p>
    <w:p w14:paraId="18E2FEA7" w14:textId="57500CF5" w:rsidR="0084779A" w:rsidRPr="002B3701" w:rsidRDefault="0084779A" w:rsidP="00C609A0">
      <w:pPr>
        <w:jc w:val="both"/>
        <w:rPr>
          <w:rFonts w:ascii="Arial" w:hAnsi="Arial" w:cs="Arial"/>
          <w:b/>
          <w:bCs/>
          <w:shd w:val="clear" w:color="auto" w:fill="FFFFFF"/>
        </w:rPr>
      </w:pPr>
    </w:p>
    <w:p w14:paraId="350DE700" w14:textId="77777777" w:rsidR="0084779A" w:rsidRPr="002B3701" w:rsidRDefault="0084779A" w:rsidP="00C609A0">
      <w:pPr>
        <w:jc w:val="both"/>
        <w:rPr>
          <w:rFonts w:ascii="Arial" w:hAnsi="Arial" w:cs="Arial"/>
          <w:b/>
          <w:bCs/>
          <w:shd w:val="clear" w:color="auto" w:fill="FFFFFF"/>
        </w:rPr>
      </w:pPr>
    </w:p>
    <w:p w14:paraId="41E40CD7" w14:textId="06142797" w:rsidR="0084779A" w:rsidRPr="004E7635" w:rsidRDefault="0084779A" w:rsidP="00C609A0">
      <w:pPr>
        <w:jc w:val="both"/>
        <w:rPr>
          <w:rFonts w:ascii="Times New Roman" w:hAnsi="Times New Roman" w:cs="Times New Roman"/>
          <w:b/>
          <w:bCs/>
          <w:sz w:val="32"/>
          <w:szCs w:val="32"/>
          <w:shd w:val="clear" w:color="auto" w:fill="FFFFFF"/>
        </w:rPr>
      </w:pPr>
      <w:r w:rsidRPr="004E7635">
        <w:rPr>
          <w:rFonts w:ascii="Times New Roman" w:hAnsi="Times New Roman" w:cs="Times New Roman"/>
          <w:b/>
          <w:bCs/>
          <w:sz w:val="32"/>
          <w:szCs w:val="32"/>
          <w:shd w:val="clear" w:color="auto" w:fill="FFFFFF"/>
        </w:rPr>
        <w:t xml:space="preserve"> Szkoł</w:t>
      </w:r>
      <w:r w:rsidR="00FF1F6F" w:rsidRPr="004E7635">
        <w:rPr>
          <w:rFonts w:ascii="Times New Roman" w:hAnsi="Times New Roman" w:cs="Times New Roman"/>
          <w:b/>
          <w:bCs/>
          <w:sz w:val="32"/>
          <w:szCs w:val="32"/>
          <w:shd w:val="clear" w:color="auto" w:fill="FFFFFF"/>
        </w:rPr>
        <w:t>a</w:t>
      </w:r>
      <w:r w:rsidRPr="004E7635">
        <w:rPr>
          <w:rFonts w:ascii="Times New Roman" w:hAnsi="Times New Roman" w:cs="Times New Roman"/>
          <w:b/>
          <w:bCs/>
          <w:sz w:val="32"/>
          <w:szCs w:val="32"/>
          <w:shd w:val="clear" w:color="auto" w:fill="FFFFFF"/>
        </w:rPr>
        <w:t xml:space="preserve"> Podstawow</w:t>
      </w:r>
      <w:r w:rsidR="00FF1F6F" w:rsidRPr="004E7635">
        <w:rPr>
          <w:rFonts w:ascii="Times New Roman" w:hAnsi="Times New Roman" w:cs="Times New Roman"/>
          <w:b/>
          <w:bCs/>
          <w:sz w:val="32"/>
          <w:szCs w:val="32"/>
          <w:shd w:val="clear" w:color="auto" w:fill="FFFFFF"/>
        </w:rPr>
        <w:t>a</w:t>
      </w:r>
      <w:r w:rsidRPr="004E7635">
        <w:rPr>
          <w:rFonts w:ascii="Times New Roman" w:hAnsi="Times New Roman" w:cs="Times New Roman"/>
          <w:b/>
          <w:bCs/>
          <w:sz w:val="32"/>
          <w:szCs w:val="32"/>
          <w:shd w:val="clear" w:color="auto" w:fill="FFFFFF"/>
        </w:rPr>
        <w:t xml:space="preserve"> w Bęczkowie</w:t>
      </w:r>
    </w:p>
    <w:p w14:paraId="2F89DFC4" w14:textId="523F4C14" w:rsidR="0084779A" w:rsidRPr="004E7635" w:rsidRDefault="0084779A" w:rsidP="00C609A0">
      <w:pPr>
        <w:jc w:val="both"/>
        <w:rPr>
          <w:rFonts w:ascii="Times New Roman" w:hAnsi="Times New Roman" w:cs="Times New Roman"/>
          <w:b/>
          <w:bCs/>
          <w:sz w:val="32"/>
          <w:szCs w:val="32"/>
          <w:shd w:val="clear" w:color="auto" w:fill="FFFFFF"/>
        </w:rPr>
      </w:pPr>
      <w:r w:rsidRPr="004E7635">
        <w:rPr>
          <w:rFonts w:ascii="Times New Roman" w:hAnsi="Times New Roman" w:cs="Times New Roman"/>
          <w:b/>
          <w:bCs/>
          <w:sz w:val="32"/>
          <w:szCs w:val="32"/>
          <w:shd w:val="clear" w:color="auto" w:fill="FFFFFF"/>
        </w:rPr>
        <w:t>Ewa Pasek</w:t>
      </w:r>
    </w:p>
    <w:p w14:paraId="615681D7" w14:textId="09987328" w:rsidR="0084779A" w:rsidRPr="004E7635" w:rsidRDefault="0084779A" w:rsidP="00C609A0">
      <w:pPr>
        <w:jc w:val="both"/>
        <w:rPr>
          <w:rFonts w:ascii="Times New Roman" w:hAnsi="Times New Roman" w:cs="Times New Roman"/>
          <w:b/>
          <w:bCs/>
          <w:sz w:val="32"/>
          <w:szCs w:val="32"/>
          <w:shd w:val="clear" w:color="auto" w:fill="FFFFFF"/>
        </w:rPr>
      </w:pPr>
      <w:r w:rsidRPr="004E7635">
        <w:rPr>
          <w:rFonts w:ascii="Times New Roman" w:hAnsi="Times New Roman" w:cs="Times New Roman"/>
          <w:b/>
          <w:bCs/>
          <w:sz w:val="32"/>
          <w:szCs w:val="32"/>
          <w:shd w:val="clear" w:color="auto" w:fill="FFFFFF"/>
        </w:rPr>
        <w:t>Aneta Iwańska – Koczkodaj</w:t>
      </w:r>
    </w:p>
    <w:p w14:paraId="01A446F1" w14:textId="77777777" w:rsidR="0084779A" w:rsidRPr="002B3701" w:rsidRDefault="0084779A" w:rsidP="00C609A0">
      <w:pPr>
        <w:jc w:val="both"/>
        <w:rPr>
          <w:rFonts w:ascii="Arial" w:hAnsi="Arial" w:cs="Arial"/>
          <w:shd w:val="clear" w:color="auto" w:fill="FFFFFF"/>
        </w:rPr>
      </w:pPr>
    </w:p>
    <w:p w14:paraId="05424F30" w14:textId="77777777" w:rsidR="0084779A" w:rsidRPr="002B3701" w:rsidRDefault="0084779A" w:rsidP="00C609A0">
      <w:pPr>
        <w:spacing w:line="276" w:lineRule="auto"/>
        <w:jc w:val="both"/>
        <w:rPr>
          <w:rFonts w:ascii="Times New Roman" w:hAnsi="Times New Roman" w:cs="Times New Roman"/>
          <w:sz w:val="24"/>
          <w:szCs w:val="24"/>
          <w:shd w:val="clear" w:color="auto" w:fill="FFFFFF"/>
        </w:rPr>
      </w:pPr>
    </w:p>
    <w:p w14:paraId="6AA712F2" w14:textId="1A1724CE" w:rsidR="0034021D" w:rsidRPr="002B3701" w:rsidRDefault="0084779A" w:rsidP="00C609A0">
      <w:pPr>
        <w:spacing w:line="276" w:lineRule="auto"/>
        <w:jc w:val="both"/>
        <w:rPr>
          <w:rFonts w:ascii="Times New Roman" w:hAnsi="Times New Roman" w:cs="Times New Roman"/>
          <w:sz w:val="24"/>
          <w:szCs w:val="24"/>
          <w:shd w:val="clear" w:color="auto" w:fill="FFFFFF"/>
        </w:rPr>
      </w:pPr>
      <w:r w:rsidRPr="002B3701">
        <w:rPr>
          <w:rFonts w:ascii="Times New Roman" w:hAnsi="Times New Roman" w:cs="Times New Roman"/>
          <w:sz w:val="24"/>
          <w:szCs w:val="24"/>
          <w:shd w:val="clear" w:color="auto" w:fill="FFFFFF"/>
        </w:rPr>
        <w:t>Rozwijanie kompetencji językowych oraz nauczanie języka obcego w polskim systemie edukacji  wskazane jest już od najmłodszych dzieci – przedszkolaków.</w:t>
      </w:r>
    </w:p>
    <w:p w14:paraId="5111B005" w14:textId="1E6434D1" w:rsidR="0084779A" w:rsidRPr="002B3701" w:rsidRDefault="0084779A" w:rsidP="00C609A0">
      <w:pPr>
        <w:spacing w:line="276" w:lineRule="auto"/>
        <w:jc w:val="both"/>
        <w:rPr>
          <w:rFonts w:ascii="Times New Roman" w:hAnsi="Times New Roman" w:cs="Times New Roman"/>
          <w:sz w:val="24"/>
          <w:szCs w:val="24"/>
          <w:shd w:val="clear" w:color="auto" w:fill="FFFFFF"/>
        </w:rPr>
      </w:pPr>
      <w:r w:rsidRPr="002B3701">
        <w:rPr>
          <w:rFonts w:ascii="Times New Roman" w:hAnsi="Times New Roman" w:cs="Times New Roman"/>
          <w:sz w:val="24"/>
          <w:szCs w:val="24"/>
          <w:shd w:val="clear" w:color="auto" w:fill="FFFFFF"/>
        </w:rPr>
        <w:t xml:space="preserve"> Podstawa programowa w sposób jasny określa zasady nauczania </w:t>
      </w:r>
      <w:r w:rsidR="00B30956" w:rsidRPr="002B3701">
        <w:rPr>
          <w:rFonts w:ascii="Times New Roman" w:hAnsi="Times New Roman" w:cs="Times New Roman"/>
          <w:sz w:val="24"/>
          <w:szCs w:val="24"/>
          <w:shd w:val="clear" w:color="auto" w:fill="FFFFFF"/>
        </w:rPr>
        <w:t xml:space="preserve">języka nowożytnego. </w:t>
      </w:r>
    </w:p>
    <w:p w14:paraId="0C1FBA39" w14:textId="54A833E9" w:rsidR="00B30956" w:rsidRDefault="00B30956" w:rsidP="00C609A0">
      <w:pPr>
        <w:spacing w:line="276" w:lineRule="auto"/>
        <w:jc w:val="both"/>
        <w:rPr>
          <w:rFonts w:ascii="Times New Roman" w:hAnsi="Times New Roman" w:cs="Times New Roman"/>
          <w:sz w:val="24"/>
          <w:szCs w:val="24"/>
          <w:shd w:val="clear" w:color="auto" w:fill="FFFFFF"/>
        </w:rPr>
      </w:pPr>
      <w:r w:rsidRPr="002B3701">
        <w:rPr>
          <w:rFonts w:ascii="Times New Roman" w:hAnsi="Times New Roman" w:cs="Times New Roman"/>
          <w:sz w:val="24"/>
          <w:szCs w:val="24"/>
          <w:shd w:val="clear" w:color="auto" w:fill="FFFFFF"/>
        </w:rPr>
        <w:t xml:space="preserve">Nauczyciele coraz częściej spotykają się z terminem CLIL w nauczaniu przedszkolnym.  </w:t>
      </w:r>
    </w:p>
    <w:p w14:paraId="53DC54EC" w14:textId="5764C033" w:rsidR="00E76902" w:rsidRDefault="00E76902" w:rsidP="00C609A0">
      <w:pPr>
        <w:spacing w:line="276" w:lineRule="auto"/>
        <w:jc w:val="both"/>
        <w:rPr>
          <w:rFonts w:ascii="Times New Roman" w:hAnsi="Times New Roman" w:cs="Times New Roman"/>
          <w:sz w:val="24"/>
          <w:szCs w:val="24"/>
          <w:shd w:val="clear" w:color="auto" w:fill="FFFFFF"/>
        </w:rPr>
      </w:pPr>
      <w:r>
        <w:rPr>
          <w:noProof/>
        </w:rPr>
        <w:drawing>
          <wp:inline distT="0" distB="0" distL="0" distR="0" wp14:anchorId="7B17973F" wp14:editId="16F88721">
            <wp:extent cx="5760720" cy="4322445"/>
            <wp:effectExtent l="0" t="0" r="0" b="190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0720" cy="4322445"/>
                    </a:xfrm>
                    <a:prstGeom prst="rect">
                      <a:avLst/>
                    </a:prstGeom>
                    <a:noFill/>
                    <a:ln>
                      <a:noFill/>
                    </a:ln>
                  </pic:spPr>
                </pic:pic>
              </a:graphicData>
            </a:graphic>
          </wp:inline>
        </w:drawing>
      </w:r>
    </w:p>
    <w:p w14:paraId="4F2E3BBE" w14:textId="68E069F5" w:rsidR="00E76902" w:rsidRDefault="00E76902" w:rsidP="00C609A0">
      <w:pPr>
        <w:spacing w:line="276" w:lineRule="auto"/>
        <w:jc w:val="both"/>
        <w:rPr>
          <w:rFonts w:ascii="Times New Roman" w:hAnsi="Times New Roman" w:cs="Times New Roman"/>
          <w:sz w:val="24"/>
          <w:szCs w:val="24"/>
          <w:shd w:val="clear" w:color="auto" w:fill="FFFFFF"/>
        </w:rPr>
      </w:pPr>
      <w:r>
        <w:rPr>
          <w:noProof/>
        </w:rPr>
        <w:lastRenderedPageBreak/>
        <w:drawing>
          <wp:inline distT="0" distB="0" distL="0" distR="0" wp14:anchorId="4FBB25E1" wp14:editId="0B7A2B6B">
            <wp:extent cx="5760720" cy="43224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4322445"/>
                    </a:xfrm>
                    <a:prstGeom prst="rect">
                      <a:avLst/>
                    </a:prstGeom>
                    <a:noFill/>
                    <a:ln>
                      <a:noFill/>
                    </a:ln>
                  </pic:spPr>
                </pic:pic>
              </a:graphicData>
            </a:graphic>
          </wp:inline>
        </w:drawing>
      </w:r>
    </w:p>
    <w:p w14:paraId="044DBDCA" w14:textId="2661D0A1" w:rsidR="00E76902" w:rsidRPr="002B3701" w:rsidRDefault="00E76902" w:rsidP="00C609A0">
      <w:pPr>
        <w:spacing w:line="276" w:lineRule="auto"/>
        <w:jc w:val="both"/>
        <w:rPr>
          <w:rFonts w:ascii="Times New Roman" w:hAnsi="Times New Roman" w:cs="Times New Roman"/>
          <w:sz w:val="24"/>
          <w:szCs w:val="24"/>
          <w:shd w:val="clear" w:color="auto" w:fill="FFFFFF"/>
        </w:rPr>
      </w:pPr>
      <w:r>
        <w:rPr>
          <w:noProof/>
        </w:rPr>
        <w:drawing>
          <wp:inline distT="0" distB="0" distL="0" distR="0" wp14:anchorId="718F4D27" wp14:editId="13BEE712">
            <wp:extent cx="5760720" cy="4322445"/>
            <wp:effectExtent l="0" t="0" r="0" b="190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4322445"/>
                    </a:xfrm>
                    <a:prstGeom prst="rect">
                      <a:avLst/>
                    </a:prstGeom>
                    <a:noFill/>
                    <a:ln>
                      <a:noFill/>
                    </a:ln>
                  </pic:spPr>
                </pic:pic>
              </a:graphicData>
            </a:graphic>
          </wp:inline>
        </w:drawing>
      </w:r>
    </w:p>
    <w:p w14:paraId="506CD057" w14:textId="4EEA67ED" w:rsidR="00B30956" w:rsidRPr="002B3701" w:rsidRDefault="00B30956" w:rsidP="00C609A0">
      <w:pPr>
        <w:spacing w:line="276" w:lineRule="auto"/>
        <w:jc w:val="both"/>
        <w:rPr>
          <w:rFonts w:ascii="Times New Roman" w:hAnsi="Times New Roman" w:cs="Times New Roman"/>
          <w:sz w:val="24"/>
          <w:szCs w:val="24"/>
          <w:shd w:val="clear" w:color="auto" w:fill="FFFFFF"/>
        </w:rPr>
      </w:pPr>
      <w:r w:rsidRPr="002B3701">
        <w:rPr>
          <w:rFonts w:ascii="Times New Roman" w:hAnsi="Times New Roman" w:cs="Times New Roman"/>
          <w:sz w:val="24"/>
          <w:szCs w:val="24"/>
          <w:shd w:val="clear" w:color="auto" w:fill="FFFFFF"/>
        </w:rPr>
        <w:lastRenderedPageBreak/>
        <w:t xml:space="preserve">Podczas wizyty studyjnej </w:t>
      </w:r>
      <w:r w:rsidRPr="002B3701">
        <w:rPr>
          <w:rStyle w:val="gwpe82e99e9font"/>
          <w:rFonts w:ascii="Times New Roman" w:hAnsi="Times New Roman" w:cs="Times New Roman"/>
          <w:sz w:val="24"/>
          <w:szCs w:val="24"/>
          <w:shd w:val="clear" w:color="auto" w:fill="FFFFFF"/>
        </w:rPr>
        <w:t xml:space="preserve">w </w:t>
      </w:r>
      <w:proofErr w:type="spellStart"/>
      <w:r w:rsidRPr="002B3701">
        <w:rPr>
          <w:rStyle w:val="gwpe82e99e9font"/>
          <w:rFonts w:ascii="Times New Roman" w:hAnsi="Times New Roman" w:cs="Times New Roman"/>
          <w:sz w:val="24"/>
          <w:szCs w:val="24"/>
          <w:shd w:val="clear" w:color="auto" w:fill="FFFFFF"/>
        </w:rPr>
        <w:t>Alpha</w:t>
      </w:r>
      <w:proofErr w:type="spellEnd"/>
      <w:r w:rsidRPr="002B3701">
        <w:rPr>
          <w:rStyle w:val="gwpe82e99e9font"/>
          <w:rFonts w:ascii="Times New Roman" w:hAnsi="Times New Roman" w:cs="Times New Roman"/>
          <w:sz w:val="24"/>
          <w:szCs w:val="24"/>
          <w:shd w:val="clear" w:color="auto" w:fill="FFFFFF"/>
        </w:rPr>
        <w:t xml:space="preserve"> School of English na Malcie , uczestnicząc w  kursie na temat nauczania dwujęzycznego (metody CLIL) oraz wykorzystania w edukacji technologii</w:t>
      </w:r>
      <w:r w:rsidR="00C609A0">
        <w:rPr>
          <w:rStyle w:val="gwpe82e99e9font"/>
          <w:rFonts w:ascii="Times New Roman" w:hAnsi="Times New Roman" w:cs="Times New Roman"/>
          <w:sz w:val="24"/>
          <w:szCs w:val="24"/>
          <w:shd w:val="clear" w:color="auto" w:fill="FFFFFF"/>
        </w:rPr>
        <w:t xml:space="preserve">                  </w:t>
      </w:r>
      <w:r w:rsidRPr="002B3701">
        <w:rPr>
          <w:rStyle w:val="gwpe82e99e9font"/>
          <w:rFonts w:ascii="Times New Roman" w:hAnsi="Times New Roman" w:cs="Times New Roman"/>
          <w:sz w:val="24"/>
          <w:szCs w:val="24"/>
          <w:shd w:val="clear" w:color="auto" w:fill="FFFFFF"/>
        </w:rPr>
        <w:t xml:space="preserve"> i </w:t>
      </w:r>
      <w:bookmarkStart w:id="0" w:name="_Hlk78275335"/>
      <w:r w:rsidRPr="002B3701">
        <w:rPr>
          <w:rStyle w:val="gwpe82e99e9font"/>
          <w:rFonts w:ascii="Times New Roman" w:hAnsi="Times New Roman" w:cs="Times New Roman"/>
          <w:sz w:val="24"/>
          <w:szCs w:val="24"/>
          <w:shd w:val="clear" w:color="auto" w:fill="FFFFFF"/>
        </w:rPr>
        <w:t>narzędzi ICT </w:t>
      </w:r>
      <w:bookmarkEnd w:id="0"/>
      <w:r w:rsidRPr="002B3701">
        <w:rPr>
          <w:rStyle w:val="gwpe82e99e9font"/>
          <w:rFonts w:ascii="Times New Roman" w:hAnsi="Times New Roman" w:cs="Times New Roman"/>
          <w:sz w:val="24"/>
          <w:szCs w:val="24"/>
          <w:shd w:val="clear" w:color="auto" w:fill="FFFFFF"/>
        </w:rPr>
        <w:t>dowiedzieliśmy się czym jest ta metoda i w jaki sposób można ją wykorzystać w nauczaniu dwujęzycznym wśród małych dzieci.</w:t>
      </w:r>
    </w:p>
    <w:p w14:paraId="054AF7A4" w14:textId="10275822" w:rsidR="00B30956" w:rsidRPr="002B3701" w:rsidRDefault="00B30956" w:rsidP="00C609A0">
      <w:pPr>
        <w:spacing w:line="276" w:lineRule="auto"/>
        <w:jc w:val="both"/>
        <w:rPr>
          <w:rFonts w:ascii="Times New Roman" w:hAnsi="Times New Roman" w:cs="Times New Roman"/>
          <w:sz w:val="24"/>
          <w:szCs w:val="24"/>
          <w:shd w:val="clear" w:color="auto" w:fill="FFFFFF"/>
        </w:rPr>
      </w:pPr>
      <w:r w:rsidRPr="002B3701">
        <w:rPr>
          <w:rFonts w:ascii="Times New Roman" w:hAnsi="Times New Roman" w:cs="Times New Roman"/>
          <w:sz w:val="24"/>
          <w:szCs w:val="24"/>
          <w:shd w:val="clear" w:color="auto" w:fill="FFFFFF"/>
        </w:rPr>
        <w:t xml:space="preserve"> Czym zatem jest CLIL?</w:t>
      </w:r>
    </w:p>
    <w:p w14:paraId="607D4F8B" w14:textId="1F75EA7C" w:rsidR="00B30956" w:rsidRPr="002B3701" w:rsidRDefault="00B30956" w:rsidP="00C609A0">
      <w:pPr>
        <w:spacing w:line="276" w:lineRule="auto"/>
        <w:jc w:val="both"/>
        <w:rPr>
          <w:rFonts w:ascii="Times New Roman" w:hAnsi="Times New Roman" w:cs="Times New Roman"/>
          <w:sz w:val="24"/>
          <w:szCs w:val="24"/>
          <w:shd w:val="clear" w:color="auto" w:fill="FFFFFF"/>
        </w:rPr>
      </w:pPr>
      <w:r w:rsidRPr="002B3701">
        <w:rPr>
          <w:rFonts w:ascii="Times New Roman" w:hAnsi="Times New Roman" w:cs="Times New Roman"/>
          <w:noProof/>
          <w:sz w:val="24"/>
          <w:szCs w:val="24"/>
          <w:shd w:val="clear" w:color="auto" w:fill="FFFFFF"/>
        </w:rPr>
        <w:drawing>
          <wp:inline distT="0" distB="0" distL="0" distR="0" wp14:anchorId="7C64B359" wp14:editId="7A9D63B3">
            <wp:extent cx="5760720" cy="3159760"/>
            <wp:effectExtent l="0" t="0" r="0" b="2540"/>
            <wp:docPr id="1" name="Obraz 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10;&#10;Opis wygenerowany automatycznie"/>
                    <pic:cNvPicPr/>
                  </pic:nvPicPr>
                  <pic:blipFill>
                    <a:blip r:embed="rId7"/>
                    <a:stretch>
                      <a:fillRect/>
                    </a:stretch>
                  </pic:blipFill>
                  <pic:spPr>
                    <a:xfrm>
                      <a:off x="0" y="0"/>
                      <a:ext cx="5760720" cy="3159760"/>
                    </a:xfrm>
                    <a:prstGeom prst="rect">
                      <a:avLst/>
                    </a:prstGeom>
                  </pic:spPr>
                </pic:pic>
              </a:graphicData>
            </a:graphic>
          </wp:inline>
        </w:drawing>
      </w:r>
    </w:p>
    <w:p w14:paraId="742DBF77" w14:textId="777C99D8" w:rsidR="00B30956" w:rsidRPr="002B3701" w:rsidRDefault="0033635F" w:rsidP="00C609A0">
      <w:pPr>
        <w:spacing w:line="276" w:lineRule="auto"/>
        <w:jc w:val="both"/>
        <w:rPr>
          <w:rFonts w:ascii="Times New Roman" w:hAnsi="Times New Roman" w:cs="Times New Roman"/>
          <w:sz w:val="24"/>
          <w:szCs w:val="24"/>
        </w:rPr>
      </w:pPr>
      <w:r w:rsidRPr="002B3701">
        <w:rPr>
          <w:rFonts w:ascii="Times New Roman" w:hAnsi="Times New Roman" w:cs="Times New Roman"/>
          <w:sz w:val="24"/>
          <w:szCs w:val="24"/>
        </w:rPr>
        <w:t xml:space="preserve">Termin CLIL został sformułowany przez Davida </w:t>
      </w:r>
      <w:proofErr w:type="spellStart"/>
      <w:r w:rsidRPr="002B3701">
        <w:rPr>
          <w:rFonts w:ascii="Times New Roman" w:hAnsi="Times New Roman" w:cs="Times New Roman"/>
          <w:sz w:val="24"/>
          <w:szCs w:val="24"/>
        </w:rPr>
        <w:t>Mrsha</w:t>
      </w:r>
      <w:proofErr w:type="spellEnd"/>
      <w:r w:rsidRPr="002B3701">
        <w:rPr>
          <w:rFonts w:ascii="Times New Roman" w:hAnsi="Times New Roman" w:cs="Times New Roman"/>
          <w:sz w:val="24"/>
          <w:szCs w:val="24"/>
        </w:rPr>
        <w:t xml:space="preserve">, University of </w:t>
      </w:r>
      <w:proofErr w:type="spellStart"/>
      <w:r w:rsidRPr="002B3701">
        <w:rPr>
          <w:rFonts w:ascii="Times New Roman" w:hAnsi="Times New Roman" w:cs="Times New Roman"/>
          <w:sz w:val="24"/>
          <w:szCs w:val="24"/>
        </w:rPr>
        <w:t>Jyväskylä</w:t>
      </w:r>
      <w:proofErr w:type="spellEnd"/>
      <w:r w:rsidRPr="002B3701">
        <w:rPr>
          <w:rFonts w:ascii="Times New Roman" w:hAnsi="Times New Roman" w:cs="Times New Roman"/>
          <w:sz w:val="24"/>
          <w:szCs w:val="24"/>
        </w:rPr>
        <w:t xml:space="preserve">, </w:t>
      </w:r>
      <w:proofErr w:type="spellStart"/>
      <w:r w:rsidRPr="002B3701">
        <w:rPr>
          <w:rFonts w:ascii="Times New Roman" w:hAnsi="Times New Roman" w:cs="Times New Roman"/>
          <w:sz w:val="24"/>
          <w:szCs w:val="24"/>
        </w:rPr>
        <w:t>Finland</w:t>
      </w:r>
      <w:proofErr w:type="spellEnd"/>
      <w:r w:rsidRPr="002B3701">
        <w:rPr>
          <w:rFonts w:ascii="Times New Roman" w:hAnsi="Times New Roman" w:cs="Times New Roman"/>
          <w:sz w:val="24"/>
          <w:szCs w:val="24"/>
        </w:rPr>
        <w:t xml:space="preserve"> (1994).</w:t>
      </w:r>
    </w:p>
    <w:p w14:paraId="5080C7C4" w14:textId="18045599" w:rsidR="0033635F" w:rsidRPr="002B3701" w:rsidRDefault="0033635F" w:rsidP="00C609A0">
      <w:pPr>
        <w:spacing w:line="276" w:lineRule="auto"/>
        <w:jc w:val="both"/>
        <w:rPr>
          <w:rFonts w:ascii="Times New Roman" w:hAnsi="Times New Roman" w:cs="Times New Roman"/>
          <w:sz w:val="24"/>
          <w:szCs w:val="24"/>
        </w:rPr>
      </w:pPr>
      <w:r w:rsidRPr="002B3701">
        <w:rPr>
          <w:rFonts w:ascii="Times New Roman" w:hAnsi="Times New Roman" w:cs="Times New Roman"/>
          <w:sz w:val="24"/>
          <w:szCs w:val="24"/>
        </w:rPr>
        <w:t>Metoda ta polega na nauczaniu przedmiotów lub edukacji w języku obcym w ten sposób, że uczniowie poznają treści zawarte w postawie programowej i jednocześnie doskonalą umiejętności językowe.</w:t>
      </w:r>
    </w:p>
    <w:p w14:paraId="79549503" w14:textId="26B4E337" w:rsidR="00F84F9E" w:rsidRPr="002B3701" w:rsidRDefault="00F84F9E" w:rsidP="00C609A0">
      <w:pPr>
        <w:spacing w:line="276" w:lineRule="auto"/>
        <w:jc w:val="both"/>
        <w:rPr>
          <w:rFonts w:ascii="Times New Roman" w:hAnsi="Times New Roman" w:cs="Times New Roman"/>
          <w:sz w:val="24"/>
          <w:szCs w:val="24"/>
        </w:rPr>
      </w:pPr>
      <w:r w:rsidRPr="002B3701">
        <w:rPr>
          <w:rFonts w:ascii="Times New Roman" w:hAnsi="Times New Roman" w:cs="Times New Roman"/>
          <w:spacing w:val="-1"/>
          <w:sz w:val="24"/>
          <w:szCs w:val="24"/>
          <w:shd w:val="clear" w:color="auto" w:fill="FFFFFF"/>
        </w:rPr>
        <w:t xml:space="preserve">Zgodnie z definicją </w:t>
      </w:r>
      <w:proofErr w:type="spellStart"/>
      <w:r w:rsidRPr="002B3701">
        <w:rPr>
          <w:rFonts w:ascii="Times New Roman" w:hAnsi="Times New Roman" w:cs="Times New Roman"/>
          <w:spacing w:val="-1"/>
          <w:sz w:val="24"/>
          <w:szCs w:val="24"/>
          <w:shd w:val="clear" w:color="auto" w:fill="FFFFFF"/>
        </w:rPr>
        <w:t>Coyle’a</w:t>
      </w:r>
      <w:proofErr w:type="spellEnd"/>
      <w:r w:rsidRPr="002B3701">
        <w:rPr>
          <w:rFonts w:ascii="Times New Roman" w:hAnsi="Times New Roman" w:cs="Times New Roman"/>
          <w:spacing w:val="-1"/>
          <w:sz w:val="24"/>
          <w:szCs w:val="24"/>
          <w:shd w:val="clear" w:color="auto" w:fill="FFFFFF"/>
        </w:rPr>
        <w:t xml:space="preserve"> (2005) istnieją cztery podstawowe filary, na których opiera się stosowanie podejścia CLIL, wywodzące się z koncepcji znanej jako 4C: </w:t>
      </w:r>
      <w:r w:rsidRPr="002B3701">
        <w:rPr>
          <w:rStyle w:val="italicbibliografia"/>
          <w:rFonts w:ascii="Times New Roman" w:hAnsi="Times New Roman" w:cs="Times New Roman"/>
          <w:spacing w:val="-1"/>
          <w:sz w:val="24"/>
          <w:szCs w:val="24"/>
          <w:shd w:val="clear" w:color="auto" w:fill="FFFFFF"/>
        </w:rPr>
        <w:t xml:space="preserve">Content, </w:t>
      </w:r>
      <w:proofErr w:type="spellStart"/>
      <w:r w:rsidRPr="002B3701">
        <w:rPr>
          <w:rStyle w:val="italicbibliografia"/>
          <w:rFonts w:ascii="Times New Roman" w:hAnsi="Times New Roman" w:cs="Times New Roman"/>
          <w:spacing w:val="-1"/>
          <w:sz w:val="24"/>
          <w:szCs w:val="24"/>
          <w:shd w:val="clear" w:color="auto" w:fill="FFFFFF"/>
        </w:rPr>
        <w:t>Communication</w:t>
      </w:r>
      <w:proofErr w:type="spellEnd"/>
      <w:r w:rsidRPr="002B3701">
        <w:rPr>
          <w:rStyle w:val="italicbibliografia"/>
          <w:rFonts w:ascii="Times New Roman" w:hAnsi="Times New Roman" w:cs="Times New Roman"/>
          <w:spacing w:val="-1"/>
          <w:sz w:val="24"/>
          <w:szCs w:val="24"/>
          <w:shd w:val="clear" w:color="auto" w:fill="FFFFFF"/>
        </w:rPr>
        <w:t xml:space="preserve">, </w:t>
      </w:r>
      <w:proofErr w:type="spellStart"/>
      <w:r w:rsidRPr="002B3701">
        <w:rPr>
          <w:rStyle w:val="italicbibliografia"/>
          <w:rFonts w:ascii="Times New Roman" w:hAnsi="Times New Roman" w:cs="Times New Roman"/>
          <w:spacing w:val="-1"/>
          <w:sz w:val="24"/>
          <w:szCs w:val="24"/>
          <w:shd w:val="clear" w:color="auto" w:fill="FFFFFF"/>
        </w:rPr>
        <w:t>Cognition</w:t>
      </w:r>
      <w:proofErr w:type="spellEnd"/>
      <w:r w:rsidRPr="002B3701">
        <w:rPr>
          <w:rStyle w:val="italicbibliografia"/>
          <w:rFonts w:ascii="Times New Roman" w:hAnsi="Times New Roman" w:cs="Times New Roman"/>
          <w:spacing w:val="-1"/>
          <w:sz w:val="24"/>
          <w:szCs w:val="24"/>
          <w:shd w:val="clear" w:color="auto" w:fill="FFFFFF"/>
        </w:rPr>
        <w:t xml:space="preserve">, </w:t>
      </w:r>
      <w:proofErr w:type="spellStart"/>
      <w:r w:rsidRPr="002B3701">
        <w:rPr>
          <w:rStyle w:val="italicbibliografia"/>
          <w:rFonts w:ascii="Times New Roman" w:hAnsi="Times New Roman" w:cs="Times New Roman"/>
          <w:spacing w:val="-1"/>
          <w:sz w:val="24"/>
          <w:szCs w:val="24"/>
          <w:shd w:val="clear" w:color="auto" w:fill="FFFFFF"/>
        </w:rPr>
        <w:t>Culture</w:t>
      </w:r>
      <w:proofErr w:type="spellEnd"/>
      <w:r w:rsidRPr="002B3701">
        <w:rPr>
          <w:rFonts w:ascii="Times New Roman" w:hAnsi="Times New Roman" w:cs="Times New Roman"/>
          <w:spacing w:val="-1"/>
          <w:sz w:val="24"/>
          <w:szCs w:val="24"/>
          <w:shd w:val="clear" w:color="auto" w:fill="FFFFFF"/>
        </w:rPr>
        <w:t xml:space="preserve">, czyli: treść, komunikacja, umiejętności poznawcze </w:t>
      </w:r>
      <w:r w:rsidR="00C609A0">
        <w:rPr>
          <w:rFonts w:ascii="Times New Roman" w:hAnsi="Times New Roman" w:cs="Times New Roman"/>
          <w:spacing w:val="-1"/>
          <w:sz w:val="24"/>
          <w:szCs w:val="24"/>
          <w:shd w:val="clear" w:color="auto" w:fill="FFFFFF"/>
        </w:rPr>
        <w:t xml:space="preserve">                            </w:t>
      </w:r>
      <w:r w:rsidRPr="002B3701">
        <w:rPr>
          <w:rFonts w:ascii="Times New Roman" w:hAnsi="Times New Roman" w:cs="Times New Roman"/>
          <w:spacing w:val="-1"/>
          <w:sz w:val="24"/>
          <w:szCs w:val="24"/>
          <w:shd w:val="clear" w:color="auto" w:fill="FFFFFF"/>
        </w:rPr>
        <w:t>i kultura.</w:t>
      </w:r>
    </w:p>
    <w:p w14:paraId="0DCDCC41" w14:textId="7F6BEA53" w:rsidR="009E629C" w:rsidRPr="002B3701" w:rsidRDefault="009E629C" w:rsidP="00C609A0">
      <w:pPr>
        <w:spacing w:line="276" w:lineRule="auto"/>
        <w:jc w:val="both"/>
        <w:rPr>
          <w:rFonts w:ascii="Times New Roman" w:hAnsi="Times New Roman" w:cs="Times New Roman"/>
          <w:sz w:val="24"/>
          <w:szCs w:val="24"/>
        </w:rPr>
      </w:pPr>
      <w:r w:rsidRPr="002B3701">
        <w:rPr>
          <w:rFonts w:ascii="Times New Roman" w:hAnsi="Times New Roman" w:cs="Times New Roman"/>
          <w:noProof/>
          <w:sz w:val="24"/>
          <w:szCs w:val="24"/>
        </w:rPr>
        <w:lastRenderedPageBreak/>
        <w:drawing>
          <wp:inline distT="0" distB="0" distL="0" distR="0" wp14:anchorId="657FF6B5" wp14:editId="24E4FA88">
            <wp:extent cx="5760720" cy="395160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951605"/>
                    </a:xfrm>
                    <a:prstGeom prst="rect">
                      <a:avLst/>
                    </a:prstGeom>
                  </pic:spPr>
                </pic:pic>
              </a:graphicData>
            </a:graphic>
          </wp:inline>
        </w:drawing>
      </w:r>
    </w:p>
    <w:p w14:paraId="6E180F1F" w14:textId="77777777" w:rsidR="00F84F9E" w:rsidRPr="002B3701" w:rsidRDefault="00F84F9E" w:rsidP="00C609A0">
      <w:pPr>
        <w:shd w:val="clear" w:color="auto" w:fill="FFFFFF"/>
        <w:spacing w:after="0" w:line="276" w:lineRule="auto"/>
        <w:jc w:val="both"/>
        <w:outlineLvl w:val="3"/>
        <w:rPr>
          <w:rFonts w:ascii="Times New Roman" w:eastAsia="Times New Roman" w:hAnsi="Times New Roman" w:cs="Times New Roman"/>
          <w:spacing w:val="24"/>
          <w:sz w:val="24"/>
          <w:szCs w:val="24"/>
          <w:lang w:eastAsia="pl-PL"/>
        </w:rPr>
      </w:pPr>
      <w:r w:rsidRPr="002B3701">
        <w:rPr>
          <w:rFonts w:ascii="Times New Roman" w:eastAsia="Times New Roman" w:hAnsi="Times New Roman" w:cs="Times New Roman"/>
          <w:b/>
          <w:bCs/>
          <w:spacing w:val="-1"/>
          <w:sz w:val="24"/>
          <w:szCs w:val="24"/>
          <w:lang w:eastAsia="pl-PL"/>
        </w:rPr>
        <w:t>TREŚĆ</w:t>
      </w:r>
      <w:r w:rsidRPr="002B3701">
        <w:rPr>
          <w:rFonts w:ascii="Times New Roman" w:eastAsia="Times New Roman" w:hAnsi="Times New Roman" w:cs="Times New Roman"/>
          <w:spacing w:val="-1"/>
          <w:sz w:val="24"/>
          <w:szCs w:val="24"/>
          <w:lang w:eastAsia="pl-PL"/>
        </w:rPr>
        <w:t xml:space="preserve"> (przekazywana w języku obcym)</w:t>
      </w:r>
    </w:p>
    <w:p w14:paraId="2C08FBFE" w14:textId="77777777" w:rsidR="00F84F9E" w:rsidRPr="002B3701" w:rsidRDefault="00F84F9E" w:rsidP="00C609A0">
      <w:pPr>
        <w:shd w:val="clear" w:color="auto" w:fill="FFFFFF"/>
        <w:spacing w:after="0" w:line="276" w:lineRule="auto"/>
        <w:jc w:val="both"/>
        <w:rPr>
          <w:rFonts w:ascii="Times New Roman" w:eastAsia="Times New Roman" w:hAnsi="Times New Roman" w:cs="Times New Roman"/>
          <w:sz w:val="24"/>
          <w:szCs w:val="24"/>
          <w:lang w:eastAsia="pl-PL"/>
        </w:rPr>
      </w:pPr>
      <w:r w:rsidRPr="002B3701">
        <w:rPr>
          <w:rFonts w:ascii="Times New Roman" w:eastAsia="Times New Roman" w:hAnsi="Times New Roman" w:cs="Times New Roman"/>
          <w:spacing w:val="-1"/>
          <w:sz w:val="24"/>
          <w:szCs w:val="24"/>
          <w:lang w:eastAsia="pl-PL"/>
        </w:rPr>
        <w:t>Język obcy jest przyswajany dzięki treści tematycznej, która zachęca do aktywnej nauki przedmiotu. Skupienie się na nauce języka nie polega na poznawaniu struktur lub zasad gramatyki, ale na uczeniu się języka w rzeczywistym kontekście (np. język obcy wykorzystuje się jako narzędzie do rozwiązywania zadań). Treści przedmiotowe stanowią naturalny kontekst do wprowadzania słownictwa charakterystycznego dla danego obszaru wiedzy i podnoszą motywację uczniów do nauki języka.</w:t>
      </w:r>
    </w:p>
    <w:p w14:paraId="6FB8101E" w14:textId="77777777" w:rsidR="00F84F9E" w:rsidRPr="002B3701" w:rsidRDefault="00F84F9E" w:rsidP="00C609A0">
      <w:pPr>
        <w:shd w:val="clear" w:color="auto" w:fill="FFFFFF"/>
        <w:spacing w:after="0" w:line="276" w:lineRule="auto"/>
        <w:jc w:val="both"/>
        <w:outlineLvl w:val="3"/>
        <w:rPr>
          <w:rFonts w:ascii="Times New Roman" w:eastAsia="Times New Roman" w:hAnsi="Times New Roman" w:cs="Times New Roman"/>
          <w:b/>
          <w:bCs/>
          <w:spacing w:val="24"/>
          <w:sz w:val="24"/>
          <w:szCs w:val="24"/>
          <w:lang w:eastAsia="pl-PL"/>
        </w:rPr>
      </w:pPr>
      <w:r w:rsidRPr="002B3701">
        <w:rPr>
          <w:rFonts w:ascii="Times New Roman" w:eastAsia="Times New Roman" w:hAnsi="Times New Roman" w:cs="Times New Roman"/>
          <w:b/>
          <w:bCs/>
          <w:spacing w:val="-1"/>
          <w:sz w:val="24"/>
          <w:szCs w:val="24"/>
          <w:lang w:eastAsia="pl-PL"/>
        </w:rPr>
        <w:t>KOMUNIKACJA</w:t>
      </w:r>
    </w:p>
    <w:p w14:paraId="034F4EBB" w14:textId="24E0432B" w:rsidR="00F84F9E" w:rsidRPr="002B3701" w:rsidRDefault="00F84F9E" w:rsidP="00C609A0">
      <w:pPr>
        <w:shd w:val="clear" w:color="auto" w:fill="FFFFFF"/>
        <w:spacing w:after="0" w:line="276" w:lineRule="auto"/>
        <w:jc w:val="both"/>
        <w:rPr>
          <w:rFonts w:ascii="Times New Roman" w:eastAsia="Times New Roman" w:hAnsi="Times New Roman" w:cs="Times New Roman"/>
          <w:sz w:val="24"/>
          <w:szCs w:val="24"/>
          <w:lang w:eastAsia="pl-PL"/>
        </w:rPr>
      </w:pPr>
      <w:r w:rsidRPr="002B3701">
        <w:rPr>
          <w:rFonts w:ascii="Times New Roman" w:eastAsia="Times New Roman" w:hAnsi="Times New Roman" w:cs="Times New Roman"/>
          <w:spacing w:val="-1"/>
          <w:sz w:val="24"/>
          <w:szCs w:val="24"/>
          <w:lang w:eastAsia="pl-PL"/>
        </w:rPr>
        <w:t xml:space="preserve">W zintegrowanym nauczaniu przedmiotowo-językowym nacisk kładzie się na skuteczne nauczanie języka w celu jego natychmiastowego wykorzystania w komunikacji. Język jest używany jako medium do wykonywania zadań, rozwiązywania problemów, opracowywania projektów, a także do wyrażania pomysłów. Charakterystyczną cechą lekcji prowadzonych </w:t>
      </w:r>
      <w:r w:rsidR="00C609A0">
        <w:rPr>
          <w:rFonts w:ascii="Times New Roman" w:eastAsia="Times New Roman" w:hAnsi="Times New Roman" w:cs="Times New Roman"/>
          <w:spacing w:val="-1"/>
          <w:sz w:val="24"/>
          <w:szCs w:val="24"/>
          <w:lang w:eastAsia="pl-PL"/>
        </w:rPr>
        <w:t xml:space="preserve">                    </w:t>
      </w:r>
      <w:r w:rsidRPr="002B3701">
        <w:rPr>
          <w:rFonts w:ascii="Times New Roman" w:eastAsia="Times New Roman" w:hAnsi="Times New Roman" w:cs="Times New Roman"/>
          <w:spacing w:val="-1"/>
          <w:sz w:val="24"/>
          <w:szCs w:val="24"/>
          <w:lang w:eastAsia="pl-PL"/>
        </w:rPr>
        <w:t xml:space="preserve">z wykorzystaniem metody CLIL jest nieustanne aktywizowanie nowego języka w interakcji. </w:t>
      </w:r>
      <w:r w:rsidR="00C609A0">
        <w:rPr>
          <w:rFonts w:ascii="Times New Roman" w:eastAsia="Times New Roman" w:hAnsi="Times New Roman" w:cs="Times New Roman"/>
          <w:spacing w:val="-1"/>
          <w:sz w:val="24"/>
          <w:szCs w:val="24"/>
          <w:lang w:eastAsia="pl-PL"/>
        </w:rPr>
        <w:t xml:space="preserve">                     </w:t>
      </w:r>
      <w:r w:rsidRPr="002B3701">
        <w:rPr>
          <w:rFonts w:ascii="Times New Roman" w:eastAsia="Times New Roman" w:hAnsi="Times New Roman" w:cs="Times New Roman"/>
          <w:spacing w:val="-1"/>
          <w:sz w:val="24"/>
          <w:szCs w:val="24"/>
          <w:lang w:eastAsia="pl-PL"/>
        </w:rPr>
        <w:t>W odróżnieniu od lekcji języka obcego podczas zajęć CLIL zadania komunikacyjne nie są luźną dyskusją, ale dotyczą bezpośrednio treści przedmiotowych. Dzięki temu uczniowie wspólnie analizują temat, ćwicząc jednocześnie umiejętności komunikacyjne.</w:t>
      </w:r>
    </w:p>
    <w:p w14:paraId="148C0AEB" w14:textId="77777777" w:rsidR="00F84F9E" w:rsidRPr="002B3701" w:rsidRDefault="00F84F9E" w:rsidP="00C609A0">
      <w:pPr>
        <w:shd w:val="clear" w:color="auto" w:fill="FFFFFF"/>
        <w:spacing w:after="0" w:line="276" w:lineRule="auto"/>
        <w:jc w:val="both"/>
        <w:outlineLvl w:val="3"/>
        <w:rPr>
          <w:rFonts w:ascii="Times New Roman" w:eastAsia="Times New Roman" w:hAnsi="Times New Roman" w:cs="Times New Roman"/>
          <w:b/>
          <w:bCs/>
          <w:spacing w:val="24"/>
          <w:sz w:val="24"/>
          <w:szCs w:val="24"/>
          <w:lang w:eastAsia="pl-PL"/>
        </w:rPr>
      </w:pPr>
      <w:r w:rsidRPr="002B3701">
        <w:rPr>
          <w:rFonts w:ascii="Times New Roman" w:eastAsia="Times New Roman" w:hAnsi="Times New Roman" w:cs="Times New Roman"/>
          <w:b/>
          <w:bCs/>
          <w:spacing w:val="-1"/>
          <w:sz w:val="24"/>
          <w:szCs w:val="24"/>
          <w:lang w:eastAsia="pl-PL"/>
        </w:rPr>
        <w:t>UMIEJĘTNOŚCI POZNAWCZE</w:t>
      </w:r>
    </w:p>
    <w:p w14:paraId="5B8B8894" w14:textId="44A6509A" w:rsidR="00F84F9E" w:rsidRPr="002B3701" w:rsidRDefault="00F84F9E" w:rsidP="00C609A0">
      <w:pPr>
        <w:shd w:val="clear" w:color="auto" w:fill="FFFFFF"/>
        <w:spacing w:after="0" w:line="276" w:lineRule="auto"/>
        <w:jc w:val="both"/>
        <w:rPr>
          <w:rFonts w:ascii="Times New Roman" w:eastAsia="Times New Roman" w:hAnsi="Times New Roman" w:cs="Times New Roman"/>
          <w:sz w:val="24"/>
          <w:szCs w:val="24"/>
          <w:lang w:eastAsia="pl-PL"/>
        </w:rPr>
      </w:pPr>
      <w:r w:rsidRPr="002B3701">
        <w:rPr>
          <w:rFonts w:ascii="Times New Roman" w:eastAsia="Times New Roman" w:hAnsi="Times New Roman" w:cs="Times New Roman"/>
          <w:spacing w:val="-2"/>
          <w:sz w:val="24"/>
          <w:szCs w:val="24"/>
          <w:lang w:eastAsia="pl-PL"/>
        </w:rPr>
        <w:t>Przyswajając treści przedmiotowe w języku obcym, uczniowie muszą poświęcić więcej czasu</w:t>
      </w:r>
      <w:r w:rsidR="00C609A0">
        <w:rPr>
          <w:rFonts w:ascii="Times New Roman" w:eastAsia="Times New Roman" w:hAnsi="Times New Roman" w:cs="Times New Roman"/>
          <w:spacing w:val="-2"/>
          <w:sz w:val="24"/>
          <w:szCs w:val="24"/>
          <w:lang w:eastAsia="pl-PL"/>
        </w:rPr>
        <w:t xml:space="preserve">                   </w:t>
      </w:r>
      <w:r w:rsidRPr="002B3701">
        <w:rPr>
          <w:rFonts w:ascii="Times New Roman" w:eastAsia="Times New Roman" w:hAnsi="Times New Roman" w:cs="Times New Roman"/>
          <w:spacing w:val="-2"/>
          <w:sz w:val="24"/>
          <w:szCs w:val="24"/>
          <w:lang w:eastAsia="pl-PL"/>
        </w:rPr>
        <w:t xml:space="preserve"> i uwagi ich dokładnej analizie. Język obcy (np. angielski) jest używany jako język, w którym uczeń myśli równolegle z językiem ojczystym. Charakterystyczne dla zajęć prowadzonych</w:t>
      </w:r>
      <w:r w:rsidR="00C609A0">
        <w:rPr>
          <w:rFonts w:ascii="Times New Roman" w:eastAsia="Times New Roman" w:hAnsi="Times New Roman" w:cs="Times New Roman"/>
          <w:spacing w:val="-2"/>
          <w:sz w:val="24"/>
          <w:szCs w:val="24"/>
          <w:lang w:eastAsia="pl-PL"/>
        </w:rPr>
        <w:t xml:space="preserve">                     </w:t>
      </w:r>
      <w:r w:rsidRPr="002B3701">
        <w:rPr>
          <w:rFonts w:ascii="Times New Roman" w:eastAsia="Times New Roman" w:hAnsi="Times New Roman" w:cs="Times New Roman"/>
          <w:spacing w:val="-2"/>
          <w:sz w:val="24"/>
          <w:szCs w:val="24"/>
          <w:lang w:eastAsia="pl-PL"/>
        </w:rPr>
        <w:t xml:space="preserve"> w formie CLIL jest częste przełączanie kodów językowych, co wpływa korzystnie na kształtowanie u uczniów przerzutności uwagi, kontroli poznawczej i elastyczności. Te niezbędne do efektywnej nauki umiejętności kształtowane są naturalnie i mimowolnie. Język obcy na </w:t>
      </w:r>
      <w:r w:rsidRPr="002B3701">
        <w:rPr>
          <w:rFonts w:ascii="Times New Roman" w:eastAsia="Times New Roman" w:hAnsi="Times New Roman" w:cs="Times New Roman"/>
          <w:spacing w:val="-2"/>
          <w:sz w:val="24"/>
          <w:szCs w:val="24"/>
          <w:lang w:eastAsia="pl-PL"/>
        </w:rPr>
        <w:lastRenderedPageBreak/>
        <w:t>lekcjach przedmiotowych znacząco wpływa na procesy myślowe i poszerza rozumienie pojęć</w:t>
      </w:r>
      <w:r w:rsidR="00C609A0">
        <w:rPr>
          <w:rFonts w:ascii="Times New Roman" w:eastAsia="Times New Roman" w:hAnsi="Times New Roman" w:cs="Times New Roman"/>
          <w:spacing w:val="-2"/>
          <w:sz w:val="24"/>
          <w:szCs w:val="24"/>
          <w:lang w:eastAsia="pl-PL"/>
        </w:rPr>
        <w:t xml:space="preserve">                   </w:t>
      </w:r>
      <w:r w:rsidRPr="002B3701">
        <w:rPr>
          <w:rFonts w:ascii="Times New Roman" w:eastAsia="Times New Roman" w:hAnsi="Times New Roman" w:cs="Times New Roman"/>
          <w:spacing w:val="-2"/>
          <w:sz w:val="24"/>
          <w:szCs w:val="24"/>
          <w:lang w:eastAsia="pl-PL"/>
        </w:rPr>
        <w:t xml:space="preserve"> z zakresu uczonych treści przedmiotowych.</w:t>
      </w:r>
    </w:p>
    <w:p w14:paraId="130370E2" w14:textId="77777777" w:rsidR="00F84F9E" w:rsidRPr="002B3701" w:rsidRDefault="00F84F9E" w:rsidP="00C609A0">
      <w:pPr>
        <w:shd w:val="clear" w:color="auto" w:fill="FFFFFF"/>
        <w:spacing w:after="0" w:line="276" w:lineRule="auto"/>
        <w:jc w:val="both"/>
        <w:outlineLvl w:val="3"/>
        <w:rPr>
          <w:rFonts w:ascii="Times New Roman" w:eastAsia="Times New Roman" w:hAnsi="Times New Roman" w:cs="Times New Roman"/>
          <w:b/>
          <w:bCs/>
          <w:spacing w:val="24"/>
          <w:sz w:val="24"/>
          <w:szCs w:val="24"/>
          <w:lang w:eastAsia="pl-PL"/>
        </w:rPr>
      </w:pPr>
      <w:r w:rsidRPr="002B3701">
        <w:rPr>
          <w:rFonts w:ascii="Times New Roman" w:eastAsia="Times New Roman" w:hAnsi="Times New Roman" w:cs="Times New Roman"/>
          <w:b/>
          <w:bCs/>
          <w:spacing w:val="-1"/>
          <w:sz w:val="24"/>
          <w:szCs w:val="24"/>
          <w:lang w:eastAsia="pl-PL"/>
        </w:rPr>
        <w:t>KULTURA</w:t>
      </w:r>
    </w:p>
    <w:p w14:paraId="060E3CC9" w14:textId="51402FD4" w:rsidR="00F84F9E" w:rsidRDefault="00F84F9E" w:rsidP="00C609A0">
      <w:pPr>
        <w:shd w:val="clear" w:color="auto" w:fill="FFFFFF"/>
        <w:spacing w:after="0" w:line="276" w:lineRule="auto"/>
        <w:jc w:val="both"/>
        <w:rPr>
          <w:rFonts w:ascii="Times New Roman" w:eastAsia="Times New Roman" w:hAnsi="Times New Roman" w:cs="Times New Roman"/>
          <w:spacing w:val="-2"/>
          <w:sz w:val="24"/>
          <w:szCs w:val="24"/>
          <w:lang w:eastAsia="pl-PL"/>
        </w:rPr>
      </w:pPr>
      <w:r w:rsidRPr="002B3701">
        <w:rPr>
          <w:rFonts w:ascii="Times New Roman" w:eastAsia="Times New Roman" w:hAnsi="Times New Roman" w:cs="Times New Roman"/>
          <w:spacing w:val="-2"/>
          <w:sz w:val="24"/>
          <w:szCs w:val="24"/>
          <w:lang w:eastAsia="pl-PL"/>
        </w:rPr>
        <w:t xml:space="preserve">Nieuniknionym elementem nauki języka obcego jest poznawanie innych kultur. Praca </w:t>
      </w:r>
      <w:r w:rsidR="00C609A0">
        <w:rPr>
          <w:rFonts w:ascii="Times New Roman" w:eastAsia="Times New Roman" w:hAnsi="Times New Roman" w:cs="Times New Roman"/>
          <w:spacing w:val="-2"/>
          <w:sz w:val="24"/>
          <w:szCs w:val="24"/>
          <w:lang w:eastAsia="pl-PL"/>
        </w:rPr>
        <w:t xml:space="preserve">                                  </w:t>
      </w:r>
      <w:r w:rsidRPr="002B3701">
        <w:rPr>
          <w:rFonts w:ascii="Times New Roman" w:eastAsia="Times New Roman" w:hAnsi="Times New Roman" w:cs="Times New Roman"/>
          <w:spacing w:val="-2"/>
          <w:sz w:val="24"/>
          <w:szCs w:val="24"/>
          <w:lang w:eastAsia="pl-PL"/>
        </w:rPr>
        <w:t>z wykorzystaniem metody CLIL pozwala na łączenie treści kulturowych na poziomie kultury zarówno wysokiej, która dominuje w podręcznikach do nauki samego języka (</w:t>
      </w:r>
      <w:proofErr w:type="spellStart"/>
      <w:r w:rsidRPr="002B3701">
        <w:rPr>
          <w:rFonts w:ascii="Times New Roman" w:eastAsia="Times New Roman" w:hAnsi="Times New Roman" w:cs="Times New Roman"/>
          <w:spacing w:val="-2"/>
          <w:sz w:val="24"/>
          <w:szCs w:val="24"/>
          <w:lang w:eastAsia="pl-PL"/>
        </w:rPr>
        <w:t>Derenowski</w:t>
      </w:r>
      <w:proofErr w:type="spellEnd"/>
      <w:r w:rsidRPr="002B3701">
        <w:rPr>
          <w:rFonts w:ascii="Times New Roman" w:eastAsia="Times New Roman" w:hAnsi="Times New Roman" w:cs="Times New Roman"/>
          <w:spacing w:val="-2"/>
          <w:sz w:val="24"/>
          <w:szCs w:val="24"/>
          <w:lang w:eastAsia="pl-PL"/>
        </w:rPr>
        <w:t xml:space="preserve"> 2015), jak i popularnej, przybliżając uczniom realia życia codziennego w innych krajach. </w:t>
      </w:r>
    </w:p>
    <w:p w14:paraId="094CAB7C" w14:textId="77777777" w:rsidR="004E7635" w:rsidRPr="002B3701" w:rsidRDefault="004E7635" w:rsidP="00C609A0">
      <w:pPr>
        <w:shd w:val="clear" w:color="auto" w:fill="FFFFFF"/>
        <w:spacing w:after="0" w:line="276" w:lineRule="auto"/>
        <w:jc w:val="both"/>
        <w:rPr>
          <w:rFonts w:ascii="Times New Roman" w:eastAsia="Times New Roman" w:hAnsi="Times New Roman" w:cs="Times New Roman"/>
          <w:sz w:val="24"/>
          <w:szCs w:val="24"/>
          <w:lang w:eastAsia="pl-PL"/>
        </w:rPr>
      </w:pPr>
    </w:p>
    <w:p w14:paraId="6A0977D2" w14:textId="359E3960" w:rsidR="009E629C" w:rsidRPr="002B3701" w:rsidRDefault="004E7635" w:rsidP="00C609A0">
      <w:pPr>
        <w:spacing w:line="276" w:lineRule="auto"/>
        <w:jc w:val="both"/>
        <w:rPr>
          <w:rFonts w:ascii="Times New Roman" w:hAnsi="Times New Roman" w:cs="Times New Roman"/>
          <w:b/>
          <w:bCs/>
          <w:sz w:val="24"/>
          <w:szCs w:val="24"/>
        </w:rPr>
      </w:pPr>
      <w:r>
        <w:rPr>
          <w:noProof/>
        </w:rPr>
        <w:drawing>
          <wp:inline distT="0" distB="0" distL="0" distR="0" wp14:anchorId="120BDDF0" wp14:editId="5E208A03">
            <wp:extent cx="5760720" cy="4320540"/>
            <wp:effectExtent l="0" t="0" r="0" b="3810"/>
            <wp:docPr id="6" name="Obraz 6" descr="Brak opis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ak opisu."/>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14:paraId="37C99F78" w14:textId="77777777" w:rsidR="00F84F9E" w:rsidRPr="004E7635" w:rsidRDefault="00F84F9E" w:rsidP="00C609A0">
      <w:pPr>
        <w:spacing w:line="276" w:lineRule="auto"/>
        <w:jc w:val="both"/>
        <w:rPr>
          <w:rFonts w:ascii="Times New Roman" w:hAnsi="Times New Roman" w:cs="Times New Roman"/>
          <w:b/>
          <w:bCs/>
          <w:sz w:val="28"/>
          <w:szCs w:val="28"/>
        </w:rPr>
      </w:pPr>
      <w:r w:rsidRPr="004E7635">
        <w:rPr>
          <w:rFonts w:ascii="Times New Roman" w:hAnsi="Times New Roman" w:cs="Times New Roman"/>
          <w:b/>
          <w:bCs/>
          <w:sz w:val="28"/>
          <w:szCs w:val="28"/>
        </w:rPr>
        <w:t>Co to właściwie jest dwujęzyczność?</w:t>
      </w:r>
    </w:p>
    <w:p w14:paraId="5D41D513" w14:textId="6C3343EE" w:rsidR="00F84F9E" w:rsidRPr="002B3701" w:rsidRDefault="00F84F9E" w:rsidP="00C609A0">
      <w:pPr>
        <w:spacing w:line="276" w:lineRule="auto"/>
        <w:jc w:val="both"/>
        <w:rPr>
          <w:rFonts w:ascii="Times New Roman" w:hAnsi="Times New Roman" w:cs="Times New Roman"/>
          <w:sz w:val="24"/>
          <w:szCs w:val="24"/>
        </w:rPr>
      </w:pPr>
      <w:r w:rsidRPr="002B3701">
        <w:rPr>
          <w:rFonts w:ascii="Times New Roman" w:hAnsi="Times New Roman" w:cs="Times New Roman"/>
          <w:sz w:val="24"/>
          <w:szCs w:val="24"/>
        </w:rPr>
        <w:t xml:space="preserve"> Dwujęzyczność (bilingwizm) lub nawet wielojęzyczność (</w:t>
      </w:r>
      <w:proofErr w:type="spellStart"/>
      <w:r w:rsidRPr="002B3701">
        <w:rPr>
          <w:rFonts w:ascii="Times New Roman" w:hAnsi="Times New Roman" w:cs="Times New Roman"/>
          <w:sz w:val="24"/>
          <w:szCs w:val="24"/>
        </w:rPr>
        <w:t>multilingwizm</w:t>
      </w:r>
      <w:proofErr w:type="spellEnd"/>
      <w:r w:rsidRPr="002B3701">
        <w:rPr>
          <w:rFonts w:ascii="Times New Roman" w:hAnsi="Times New Roman" w:cs="Times New Roman"/>
          <w:sz w:val="24"/>
          <w:szCs w:val="24"/>
        </w:rPr>
        <w:t xml:space="preserve">) to umiejętność swobodnego władania dwoma lub kilkoma językami. Oznacza to, że osoba dwujęzyczna (bilingwalna) rozumie dwa języki, swobodnie porozumiewa się w nich i potrafi użyć ich zgodnie z kontekstem sytuacyjnym. Dwujęzyczność nie musi oznaczać takiego samego stopnia opanowania obu języków – zazwyczaj jest tak, że jeden język staje się dominujący, </w:t>
      </w:r>
      <w:r w:rsidR="00C609A0">
        <w:rPr>
          <w:rFonts w:ascii="Times New Roman" w:hAnsi="Times New Roman" w:cs="Times New Roman"/>
          <w:sz w:val="24"/>
          <w:szCs w:val="24"/>
        </w:rPr>
        <w:t xml:space="preserve">                                  </w:t>
      </w:r>
      <w:r w:rsidRPr="002B3701">
        <w:rPr>
          <w:rFonts w:ascii="Times New Roman" w:hAnsi="Times New Roman" w:cs="Times New Roman"/>
          <w:sz w:val="24"/>
          <w:szCs w:val="24"/>
        </w:rPr>
        <w:t xml:space="preserve">w zależności od tego, jakim czynnikom kulturowym podlega życie danej osoby (w jakim języku mówią rodzice, osoby z otoczenia i środowiska szkolnego). Dwujęzyczność nie musi być tożsama z opanowaniem obu języków w stopniu biegłym – osoba dwujęzyczna może używać jednego z języków w zakresie słownictwa podstawowego, wystarczającego do swobodnej komunikacji. Może być też tak, że osoba dwujęzyczna będzie znała jeden z języków jedynie </w:t>
      </w:r>
      <w:r w:rsidR="00C609A0">
        <w:rPr>
          <w:rFonts w:ascii="Times New Roman" w:hAnsi="Times New Roman" w:cs="Times New Roman"/>
          <w:sz w:val="24"/>
          <w:szCs w:val="24"/>
        </w:rPr>
        <w:t xml:space="preserve">                             </w:t>
      </w:r>
      <w:r w:rsidRPr="002B3701">
        <w:rPr>
          <w:rFonts w:ascii="Times New Roman" w:hAnsi="Times New Roman" w:cs="Times New Roman"/>
          <w:sz w:val="24"/>
          <w:szCs w:val="24"/>
        </w:rPr>
        <w:t>w mowie.</w:t>
      </w:r>
    </w:p>
    <w:p w14:paraId="50B3F69A" w14:textId="40FC1C33" w:rsidR="00F84F9E" w:rsidRPr="004E7635" w:rsidRDefault="00F84F9E" w:rsidP="00C609A0">
      <w:pPr>
        <w:spacing w:line="276" w:lineRule="auto"/>
        <w:jc w:val="both"/>
        <w:rPr>
          <w:rFonts w:ascii="Times New Roman" w:hAnsi="Times New Roman" w:cs="Times New Roman"/>
          <w:b/>
          <w:bCs/>
          <w:sz w:val="28"/>
          <w:szCs w:val="28"/>
        </w:rPr>
      </w:pPr>
      <w:r w:rsidRPr="002B3701">
        <w:rPr>
          <w:rFonts w:ascii="Times New Roman" w:hAnsi="Times New Roman" w:cs="Times New Roman"/>
          <w:sz w:val="24"/>
          <w:szCs w:val="24"/>
        </w:rPr>
        <w:lastRenderedPageBreak/>
        <w:t xml:space="preserve"> </w:t>
      </w:r>
      <w:r w:rsidRPr="004E7635">
        <w:rPr>
          <w:rFonts w:ascii="Times New Roman" w:hAnsi="Times New Roman" w:cs="Times New Roman"/>
          <w:b/>
          <w:bCs/>
          <w:sz w:val="28"/>
          <w:szCs w:val="28"/>
        </w:rPr>
        <w:t>Jak dziecko może stać się dwujęzyczne?</w:t>
      </w:r>
    </w:p>
    <w:p w14:paraId="11F15A56" w14:textId="77777777" w:rsidR="00F84F9E" w:rsidRPr="002B3701" w:rsidRDefault="00F84F9E" w:rsidP="00C609A0">
      <w:pPr>
        <w:spacing w:line="276" w:lineRule="auto"/>
        <w:jc w:val="both"/>
        <w:rPr>
          <w:rFonts w:ascii="Times New Roman" w:hAnsi="Times New Roman" w:cs="Times New Roman"/>
          <w:sz w:val="24"/>
          <w:szCs w:val="24"/>
        </w:rPr>
      </w:pPr>
      <w:r w:rsidRPr="002B3701">
        <w:rPr>
          <w:rFonts w:ascii="Times New Roman" w:hAnsi="Times New Roman" w:cs="Times New Roman"/>
          <w:sz w:val="24"/>
          <w:szCs w:val="24"/>
        </w:rPr>
        <w:t>Aby u dziecka w naturalny sposób rozwijała się dwujęzyczność, powinny zostać spełnione pewne warunki. Pierwsze dwa z nich to czynniki psychologiczne: brak poczucia presji, wywieranej przez otoczenie oraz pozytywna postawa rodziców/nauczycieli wobec obu języków używanych przez dziecko. Spełnienie ich zapewnia dziecku poczucie bezpieczeństwa – podstawę do efektywnej nauki. Trzecim nieodzownym warunkiem jest możliwość regularnego używania dwóch języków. Im częstszy kontakt z nimi, tym lepiej. Generalnie jest zalecane, by dzieci mówiły w drugim języku przynajmniej przez 50% okresu dziennej aktywności. Kontakt ten powinien być czynny, a nie ograniczony jedynie do słowa pisanego. Kompetencji językowych w dużej mierze nabywa się poprzez ćwiczenie użycia języka w sytuacjach społecznych, zwłaszcza w tego rodzaju warunkach, w jakich ma on być w przyszłości używany. Jeśli chcemy, by dziecko potrafiło posługiwać się językiem angielskim w sytuacjach życia codziennego – po prostu wprowadzamy   w codzienne życie język angielski! Niech dziecko ćwiczy mówienie po angielsku nie w ławce z książką, lecz właśnie podczas konkretnych czynności. Ten sposób ma jeszcze jedną zaletę – naukowcy odkryli bowiem, że nasz mózg lepiej przyswaja treści podczas wykonywania jakichś czynności.</w:t>
      </w:r>
    </w:p>
    <w:p w14:paraId="44DDD890" w14:textId="1CADCC7A" w:rsidR="00F84F9E" w:rsidRPr="004E7635" w:rsidRDefault="00F84F9E" w:rsidP="00C609A0">
      <w:pPr>
        <w:spacing w:line="276" w:lineRule="auto"/>
        <w:jc w:val="both"/>
        <w:rPr>
          <w:rFonts w:ascii="Times New Roman" w:hAnsi="Times New Roman" w:cs="Times New Roman"/>
          <w:sz w:val="28"/>
          <w:szCs w:val="28"/>
        </w:rPr>
      </w:pPr>
      <w:r w:rsidRPr="004E7635">
        <w:rPr>
          <w:rFonts w:ascii="Times New Roman" w:hAnsi="Times New Roman" w:cs="Times New Roman"/>
          <w:sz w:val="28"/>
          <w:szCs w:val="28"/>
        </w:rPr>
        <w:t>W</w:t>
      </w:r>
      <w:r w:rsidRPr="004E7635">
        <w:rPr>
          <w:rFonts w:ascii="Times New Roman" w:hAnsi="Times New Roman" w:cs="Times New Roman"/>
          <w:b/>
          <w:bCs/>
          <w:sz w:val="28"/>
          <w:szCs w:val="28"/>
        </w:rPr>
        <w:t>ychowanie dwujęzyczne dziecka w przedszkolu</w:t>
      </w:r>
      <w:r w:rsidR="000B701A" w:rsidRPr="004E7635">
        <w:rPr>
          <w:rFonts w:ascii="Times New Roman" w:hAnsi="Times New Roman" w:cs="Times New Roman"/>
          <w:b/>
          <w:bCs/>
          <w:sz w:val="28"/>
          <w:szCs w:val="28"/>
        </w:rPr>
        <w:t>.</w:t>
      </w:r>
    </w:p>
    <w:p w14:paraId="2D99BB98" w14:textId="528A35FE" w:rsidR="00F84F9E" w:rsidRPr="002B3701" w:rsidRDefault="00F84F9E" w:rsidP="00C609A0">
      <w:pPr>
        <w:spacing w:line="276" w:lineRule="auto"/>
        <w:jc w:val="both"/>
        <w:rPr>
          <w:rFonts w:ascii="Times New Roman" w:hAnsi="Times New Roman" w:cs="Times New Roman"/>
          <w:sz w:val="24"/>
          <w:szCs w:val="24"/>
        </w:rPr>
      </w:pPr>
      <w:r w:rsidRPr="002B3701">
        <w:rPr>
          <w:rFonts w:ascii="Times New Roman" w:hAnsi="Times New Roman" w:cs="Times New Roman"/>
          <w:sz w:val="24"/>
          <w:szCs w:val="24"/>
        </w:rPr>
        <w:t xml:space="preserve">Możemy stosować bardzo skuteczną metodę immersji, czyli zanurzenia w drugim języku. Oznacza to, że wszelkie rodzaje aktywności dzieci w ciągu dnia (np. zabawy, pogadanki edukacyjne, przygotowanie do posiłku, sprzątanie zabawek, rytmika, wyjścia na dwór, wycieczki) odbywają się jednocześnie w językach polskim i angielskim. Treści programowe np. nazwy kolorów czy proste działania matematyczne wprowadzane są po polsku i po angielsku.  </w:t>
      </w:r>
      <w:r w:rsidR="000B701A" w:rsidRPr="002B3701">
        <w:rPr>
          <w:rFonts w:ascii="Times New Roman" w:hAnsi="Times New Roman" w:cs="Times New Roman"/>
          <w:sz w:val="24"/>
          <w:szCs w:val="24"/>
        </w:rPr>
        <w:t>Ż</w:t>
      </w:r>
      <w:r w:rsidRPr="002B3701">
        <w:rPr>
          <w:rFonts w:ascii="Times New Roman" w:hAnsi="Times New Roman" w:cs="Times New Roman"/>
          <w:sz w:val="24"/>
          <w:szCs w:val="24"/>
        </w:rPr>
        <w:t>adne z działań nie</w:t>
      </w:r>
      <w:r w:rsidR="000B701A" w:rsidRPr="002B3701">
        <w:rPr>
          <w:rFonts w:ascii="Times New Roman" w:hAnsi="Times New Roman" w:cs="Times New Roman"/>
          <w:sz w:val="24"/>
          <w:szCs w:val="24"/>
        </w:rPr>
        <w:t xml:space="preserve"> powinno </w:t>
      </w:r>
      <w:r w:rsidRPr="002B3701">
        <w:rPr>
          <w:rFonts w:ascii="Times New Roman" w:hAnsi="Times New Roman" w:cs="Times New Roman"/>
          <w:sz w:val="24"/>
          <w:szCs w:val="24"/>
        </w:rPr>
        <w:t xml:space="preserve"> odbywa</w:t>
      </w:r>
      <w:r w:rsidR="000B701A" w:rsidRPr="002B3701">
        <w:rPr>
          <w:rFonts w:ascii="Times New Roman" w:hAnsi="Times New Roman" w:cs="Times New Roman"/>
          <w:sz w:val="24"/>
          <w:szCs w:val="24"/>
        </w:rPr>
        <w:t>ć</w:t>
      </w:r>
      <w:r w:rsidRPr="002B3701">
        <w:rPr>
          <w:rFonts w:ascii="Times New Roman" w:hAnsi="Times New Roman" w:cs="Times New Roman"/>
          <w:sz w:val="24"/>
          <w:szCs w:val="24"/>
        </w:rPr>
        <w:t xml:space="preserve"> się bez użycia języka angielskiego! Język angielski nie jest przedmiotem nauczania, lecz po prostu sposobem komunikacji - tak samo, jak język ojczysty w domu.</w:t>
      </w:r>
    </w:p>
    <w:p w14:paraId="1B462AAA" w14:textId="33167E53" w:rsidR="000B701A" w:rsidRPr="002B3701" w:rsidRDefault="000B701A" w:rsidP="00C609A0">
      <w:pPr>
        <w:spacing w:line="276" w:lineRule="auto"/>
        <w:jc w:val="both"/>
        <w:rPr>
          <w:rFonts w:ascii="Times New Roman" w:hAnsi="Times New Roman" w:cs="Times New Roman"/>
          <w:sz w:val="24"/>
          <w:szCs w:val="24"/>
        </w:rPr>
      </w:pPr>
      <w:r w:rsidRPr="002B3701">
        <w:rPr>
          <w:rFonts w:ascii="Times New Roman" w:hAnsi="Times New Roman" w:cs="Times New Roman"/>
          <w:sz w:val="24"/>
          <w:szCs w:val="24"/>
        </w:rPr>
        <w:t xml:space="preserve">Metody i pomoce dydaktyczne, służące realizacji podstawy programowej wychowania przedszkolnego, są tożsame z tymi stosowanymi w każdym nowoczesnym przedszkolu – znajdują się wśród nich zarówno te nowe (np. audiowizualne – film, praca z aplikacją na tablet, </w:t>
      </w:r>
      <w:r w:rsidRPr="002B3701">
        <w:rPr>
          <w:rStyle w:val="gwpe82e99e9font"/>
          <w:rFonts w:ascii="Times New Roman" w:hAnsi="Times New Roman" w:cs="Times New Roman"/>
          <w:sz w:val="24"/>
          <w:szCs w:val="24"/>
          <w:shd w:val="clear" w:color="auto" w:fill="FFFFFF"/>
        </w:rPr>
        <w:t>narzędzia ICT </w:t>
      </w:r>
      <w:r w:rsidRPr="002B3701">
        <w:rPr>
          <w:rFonts w:ascii="Times New Roman" w:hAnsi="Times New Roman" w:cs="Times New Roman"/>
          <w:sz w:val="24"/>
          <w:szCs w:val="24"/>
        </w:rPr>
        <w:t xml:space="preserve"> itp.), jak i te z wieloletnią tradycją (powtarzanie, pogadanka, zagadka, metoda obrazkowa, piosenka, wiersz, drama itp.). Przy ich stosowaniu uwzględniane są oczywiście oba języki.</w:t>
      </w:r>
    </w:p>
    <w:p w14:paraId="71D473D4" w14:textId="21430DBF" w:rsidR="007C7BA5" w:rsidRPr="004E7635" w:rsidRDefault="007C7BA5" w:rsidP="00C609A0">
      <w:pPr>
        <w:spacing w:line="276" w:lineRule="auto"/>
        <w:jc w:val="both"/>
        <w:rPr>
          <w:rFonts w:ascii="Times New Roman" w:hAnsi="Times New Roman" w:cs="Times New Roman"/>
          <w:b/>
          <w:bCs/>
          <w:sz w:val="28"/>
          <w:szCs w:val="28"/>
        </w:rPr>
      </w:pPr>
      <w:r w:rsidRPr="004E7635">
        <w:rPr>
          <w:rFonts w:ascii="Times New Roman" w:hAnsi="Times New Roman" w:cs="Times New Roman"/>
          <w:b/>
          <w:bCs/>
          <w:sz w:val="28"/>
          <w:szCs w:val="28"/>
        </w:rPr>
        <w:t>Korzyści płynące z wychowania dwujęzycznego.</w:t>
      </w:r>
    </w:p>
    <w:p w14:paraId="57CBF439" w14:textId="7544EB89" w:rsidR="007C7BA5" w:rsidRPr="002B3701" w:rsidRDefault="007C7BA5" w:rsidP="00C609A0">
      <w:pPr>
        <w:spacing w:line="276" w:lineRule="auto"/>
        <w:jc w:val="both"/>
        <w:rPr>
          <w:rFonts w:ascii="Times New Roman" w:hAnsi="Times New Roman" w:cs="Times New Roman"/>
          <w:sz w:val="24"/>
          <w:szCs w:val="24"/>
        </w:rPr>
      </w:pPr>
      <w:r w:rsidRPr="002B3701">
        <w:rPr>
          <w:rFonts w:ascii="Times New Roman" w:hAnsi="Times New Roman" w:cs="Times New Roman"/>
          <w:sz w:val="24"/>
          <w:szCs w:val="24"/>
        </w:rPr>
        <w:t xml:space="preserve"> Zanurzenie w języku pozwala dzieciom na przyswajanie języka angielskiego w stopniu porównywalnym z tym, jak przyswajają one język polski. Wg licznych badań naukowych nie ma lepszej metody na skuteczne przyswojenie języka obcego. Dzięki temu, że nic nie dzieje się bez użycia języka angielskiego, stwarzane są bardzo dobre warunki do tego, by  dziecko </w:t>
      </w:r>
      <w:r w:rsidR="00C609A0">
        <w:rPr>
          <w:rFonts w:ascii="Times New Roman" w:hAnsi="Times New Roman" w:cs="Times New Roman"/>
          <w:sz w:val="24"/>
          <w:szCs w:val="24"/>
        </w:rPr>
        <w:t xml:space="preserve">                           </w:t>
      </w:r>
      <w:r w:rsidRPr="002B3701">
        <w:rPr>
          <w:rFonts w:ascii="Times New Roman" w:hAnsi="Times New Roman" w:cs="Times New Roman"/>
          <w:sz w:val="24"/>
          <w:szCs w:val="24"/>
        </w:rPr>
        <w:t xml:space="preserve">w wieku przedszkolnym operowało tym językiem na poziomie zbliżonym do języka ojczystego. Dzięki zanurzeniu dziecko będzie swobodnie mówić po angielsku w codziennych sytuacjach. Już sama znajomość drugiego języka wraz z jego poprawnym użyciem to dobry start w życie i szeroka droga do dalszego kształcenia – nie tylko językowego. </w:t>
      </w:r>
    </w:p>
    <w:p w14:paraId="00F90967" w14:textId="773F142B" w:rsidR="007C7BA5" w:rsidRPr="002B3701" w:rsidRDefault="007C7BA5" w:rsidP="00C609A0">
      <w:pPr>
        <w:spacing w:line="276" w:lineRule="auto"/>
        <w:jc w:val="both"/>
        <w:rPr>
          <w:rFonts w:ascii="Times New Roman" w:hAnsi="Times New Roman" w:cs="Times New Roman"/>
          <w:b/>
          <w:bCs/>
          <w:sz w:val="24"/>
          <w:szCs w:val="24"/>
        </w:rPr>
      </w:pPr>
      <w:r w:rsidRPr="002B3701">
        <w:rPr>
          <w:rFonts w:ascii="Times New Roman" w:hAnsi="Times New Roman" w:cs="Times New Roman"/>
          <w:sz w:val="24"/>
          <w:szCs w:val="24"/>
        </w:rPr>
        <w:lastRenderedPageBreak/>
        <w:t xml:space="preserve">Liczne badania naukowe wykazały, że u dzieci wychowywanych dwujęzycznie lepiej rozwinięte jest myślenie </w:t>
      </w:r>
      <w:proofErr w:type="spellStart"/>
      <w:r w:rsidRPr="002B3701">
        <w:rPr>
          <w:rFonts w:ascii="Times New Roman" w:hAnsi="Times New Roman" w:cs="Times New Roman"/>
          <w:sz w:val="24"/>
          <w:szCs w:val="24"/>
        </w:rPr>
        <w:t>dywergencyjne</w:t>
      </w:r>
      <w:proofErr w:type="spellEnd"/>
      <w:r w:rsidRPr="002B3701">
        <w:rPr>
          <w:rFonts w:ascii="Times New Roman" w:hAnsi="Times New Roman" w:cs="Times New Roman"/>
          <w:sz w:val="24"/>
          <w:szCs w:val="24"/>
        </w:rPr>
        <w:t xml:space="preserve"> (twórcze). Jest tak dlatego, że każdy język to zbiór znaczeń i stylów myślenia – jeśli dziecko zna dwa języki, ten zasób znaczeń się powiększa. Prowadzi to do szybkiego rozwoju zdolności myślenia abstrakcyjnego i tworzenia nowych pojęć. Z kolei przełączanie kodu pomiędzy używanymi językami kształci elastyczność myślenia – cechę kluczową dla samorozwoju. Dzieci dwujęzyczne na co dzień doświadczają porównywania systemów językowych - form gramatycznych, szczegółów znaczeniowych – dzięki temu mają szerszą świadomość metajęzykową (</w:t>
      </w:r>
      <w:proofErr w:type="spellStart"/>
      <w:r w:rsidRPr="002B3701">
        <w:rPr>
          <w:rFonts w:ascii="Times New Roman" w:hAnsi="Times New Roman" w:cs="Times New Roman"/>
          <w:sz w:val="24"/>
          <w:szCs w:val="24"/>
        </w:rPr>
        <w:t>ponadjęzykową</w:t>
      </w:r>
      <w:proofErr w:type="spellEnd"/>
      <w:r w:rsidRPr="002B3701">
        <w:rPr>
          <w:rFonts w:ascii="Times New Roman" w:hAnsi="Times New Roman" w:cs="Times New Roman"/>
          <w:sz w:val="24"/>
          <w:szCs w:val="24"/>
        </w:rPr>
        <w:t xml:space="preserve"> – o języku). Oznacza to, że postrzegają języki jako systemy, co jest niezwykle ważne przy nauce czytania. Dzieci dwujęzyczne szybciej wykazują gotowość do jej podjęcia. Dzięki analitycznemu podejściu do kwestii języka osiągają też lepsze efekty w uczeniu się kolejnego języka. Są wrażliwsze na wszelkie zjawiska językowe, dzięki czemu umiejętniej wykorzystują swoje zasoby językowe w tekstach mówionych i pisanych. W testach inteligencji wypadają lepiej niż dzieci jednojęzyczne – lepiej radzą sobie z szybkim przetwarzaniem informacji oraz </w:t>
      </w:r>
      <w:r w:rsidR="00C609A0">
        <w:rPr>
          <w:rFonts w:ascii="Times New Roman" w:hAnsi="Times New Roman" w:cs="Times New Roman"/>
          <w:sz w:val="24"/>
          <w:szCs w:val="24"/>
        </w:rPr>
        <w:t xml:space="preserve">                                            </w:t>
      </w:r>
      <w:r w:rsidRPr="002B3701">
        <w:rPr>
          <w:rFonts w:ascii="Times New Roman" w:hAnsi="Times New Roman" w:cs="Times New Roman"/>
          <w:sz w:val="24"/>
          <w:szCs w:val="24"/>
        </w:rPr>
        <w:t>z manipulowaniem symbolami. Wszystkie powyższe cechy i umiejętności przekładają się na lepsze wyniki w nauce.</w:t>
      </w:r>
    </w:p>
    <w:sectPr w:rsidR="007C7BA5" w:rsidRPr="002B370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021D"/>
    <w:rsid w:val="000B701A"/>
    <w:rsid w:val="002B3701"/>
    <w:rsid w:val="0033635F"/>
    <w:rsid w:val="0034021D"/>
    <w:rsid w:val="003721CD"/>
    <w:rsid w:val="004A6DC0"/>
    <w:rsid w:val="004E7635"/>
    <w:rsid w:val="007C7BA5"/>
    <w:rsid w:val="0084779A"/>
    <w:rsid w:val="009E629C"/>
    <w:rsid w:val="00B30956"/>
    <w:rsid w:val="00C609A0"/>
    <w:rsid w:val="00E76902"/>
    <w:rsid w:val="00F654A1"/>
    <w:rsid w:val="00F84F9E"/>
    <w:rsid w:val="00FF1F6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9E7F08"/>
  <w15:chartTrackingRefBased/>
  <w15:docId w15:val="{A23AF04D-E4CF-4084-9DB9-286484A2A8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gwpe82e99e9font">
    <w:name w:val="gwpe82e99e9_font"/>
    <w:basedOn w:val="Domylnaczcionkaakapitu"/>
    <w:rsid w:val="00B30956"/>
  </w:style>
  <w:style w:type="character" w:customStyle="1" w:styleId="italicbibliografia">
    <w:name w:val="italicbibliografia"/>
    <w:basedOn w:val="Domylnaczcionkaakapitu"/>
    <w:rsid w:val="00F84F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121369">
      <w:bodyDiv w:val="1"/>
      <w:marLeft w:val="0"/>
      <w:marRight w:val="0"/>
      <w:marTop w:val="0"/>
      <w:marBottom w:val="0"/>
      <w:divBdr>
        <w:top w:val="none" w:sz="0" w:space="0" w:color="auto"/>
        <w:left w:val="none" w:sz="0" w:space="0" w:color="auto"/>
        <w:bottom w:val="none" w:sz="0" w:space="0" w:color="auto"/>
        <w:right w:val="none" w:sz="0" w:space="0" w:color="auto"/>
      </w:divBdr>
    </w:div>
    <w:div w:id="1860389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1324</Words>
  <Characters>7950</Characters>
  <Application>Microsoft Office Word</Application>
  <DocSecurity>0</DocSecurity>
  <Lines>66</Lines>
  <Paragraphs>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Ewa Pasek</dc:creator>
  <cp:keywords/>
  <dc:description/>
  <cp:lastModifiedBy>Ewa Pasek</cp:lastModifiedBy>
  <cp:revision>2</cp:revision>
  <dcterms:created xsi:type="dcterms:W3CDTF">2021-08-30T16:43:00Z</dcterms:created>
  <dcterms:modified xsi:type="dcterms:W3CDTF">2021-08-30T16:43:00Z</dcterms:modified>
</cp:coreProperties>
</file>